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A6B1" w14:textId="77777777" w:rsidR="00084F99" w:rsidRDefault="00084F99"/>
    <w:p w14:paraId="65E99AE2" w14:textId="77777777" w:rsidR="00084F99" w:rsidRPr="00084F99" w:rsidRDefault="00084F99" w:rsidP="00084F99">
      <w:pPr>
        <w:spacing w:after="160"/>
        <w:rPr>
          <w:rFonts w:ascii="Times New Roman" w:eastAsia="Times New Roman" w:hAnsi="Times New Roman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i/>
          <w:iCs/>
          <w:color w:val="242424"/>
          <w:kern w:val="0"/>
          <w:sz w:val="23"/>
          <w:szCs w:val="23"/>
          <w:shd w:val="clear" w:color="auto" w:fill="FFFFFF"/>
          <w14:ligatures w14:val="none"/>
        </w:rPr>
        <w:t>Proceedings of the XXXVI GIRI meeting</w:t>
      </w:r>
    </w:p>
    <w:p w14:paraId="4DE7B51B" w14:textId="4D8D952E" w:rsidR="00084F99" w:rsidRPr="00084F99" w:rsidRDefault="00E451AB" w:rsidP="00084F99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Findings from clinical,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>historical</w:t>
      </w:r>
      <w:proofErr w:type="gramEnd"/>
      <w:r w:rsidR="00AD284E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and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educational research conducted at the HOHM Foundation office of research</w:t>
      </w:r>
      <w:r w:rsidR="00FE54E1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181CD8C3" w14:textId="77777777" w:rsidR="004754F9" w:rsidRDefault="00084F99" w:rsidP="00084F99">
      <w:pPr>
        <w:spacing w:after="240"/>
        <w:jc w:val="both"/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Authors</w:t>
      </w:r>
      <w:r w:rsidR="00E451AB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</w:p>
    <w:p w14:paraId="092294D5" w14:textId="5355A80D" w:rsidR="00E451AB" w:rsidRDefault="00E451AB" w:rsidP="00084F99">
      <w:pPr>
        <w:spacing w:after="240"/>
        <w:jc w:val="both"/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Alastair Gray PhD, MSc,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BA</w:t>
      </w:r>
      <w:r w:rsidR="00FE54E1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H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ons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1</w:t>
      </w:r>
    </w:p>
    <w:p w14:paraId="4D1BA0F4" w14:textId="7BF46F6F" w:rsidR="00084F99" w:rsidRPr="00084F99" w:rsidRDefault="00E451AB" w:rsidP="00084F99">
      <w:pPr>
        <w:spacing w:after="2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Denise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Straiges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MA </w:t>
      </w:r>
      <w:r w:rsidR="00FE54E1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CCH </w:t>
      </w:r>
      <w:r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>1</w:t>
      </w:r>
    </w:p>
    <w:p w14:paraId="21858386" w14:textId="23181ECB" w:rsidR="00084F99" w:rsidRPr="00084F99" w:rsidRDefault="00084F99" w:rsidP="00084F99">
      <w:pPr>
        <w:jc w:val="both"/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r w:rsidRPr="00084F99">
        <w:rPr>
          <w:rFonts w:ascii="Cambria" w:eastAsia="Times New Roman" w:hAnsi="Cambria" w:cs="Times New Roman"/>
          <w:color w:val="000000"/>
          <w:kern w:val="0"/>
          <w:sz w:val="22"/>
          <w:szCs w:val="22"/>
          <w14:ligatures w14:val="none"/>
        </w:rPr>
        <w:t>1 – Affiliations</w:t>
      </w:r>
      <w:r w:rsidR="00E451AB" w:rsidRPr="00FE54E1">
        <w:rPr>
          <w:rFonts w:ascii="Cambria" w:eastAsia="Times New Roman" w:hAnsi="Cambria" w:cs="Times New Roman"/>
          <w:color w:val="000000"/>
          <w:kern w:val="0"/>
          <w:sz w:val="22"/>
          <w:szCs w:val="22"/>
          <w14:ligatures w14:val="none"/>
        </w:rPr>
        <w:t>: HOHM Foundation Office of Research</w:t>
      </w:r>
    </w:p>
    <w:p w14:paraId="1A135D6F" w14:textId="77777777" w:rsidR="00084F99" w:rsidRPr="00084F99" w:rsidRDefault="00084F99" w:rsidP="00084F9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F4362D" w14:textId="77777777" w:rsidR="00084F99" w:rsidRPr="00084F99" w:rsidRDefault="00084F99" w:rsidP="00084F99">
      <w:pPr>
        <w:spacing w:after="160"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:lang w:val="fr-FR"/>
          <w14:ligatures w14:val="none"/>
        </w:rPr>
        <w:t>Abstract</w:t>
      </w:r>
    </w:p>
    <w:p w14:paraId="1641E362" w14:textId="5FC5863D" w:rsidR="00395F63" w:rsidRPr="00084F99" w:rsidRDefault="004031A1" w:rsidP="00D82E0A">
      <w:pPr>
        <w:spacing w:after="160"/>
        <w:jc w:val="both"/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</w:pPr>
      <w:r w:rsidRPr="000D2BD0">
        <w:rPr>
          <w:rFonts w:ascii="Cambria" w:hAnsi="Cambria" w:cstheme="majorBidi"/>
          <w:i/>
          <w:iCs/>
          <w:sz w:val="22"/>
          <w:szCs w:val="22"/>
        </w:rPr>
        <w:t>Background</w:t>
      </w:r>
      <w:r w:rsidRPr="00FE54E1">
        <w:rPr>
          <w:rFonts w:ascii="Cambria" w:hAnsi="Cambria" w:cstheme="majorBidi"/>
          <w:sz w:val="22"/>
          <w:szCs w:val="22"/>
        </w:rPr>
        <w:t xml:space="preserve">: This </w:t>
      </w:r>
      <w:r w:rsidR="00B03AE4">
        <w:rPr>
          <w:rFonts w:ascii="Cambria" w:hAnsi="Cambria" w:cstheme="majorBidi"/>
          <w:sz w:val="22"/>
          <w:szCs w:val="22"/>
        </w:rPr>
        <w:t>presentation</w:t>
      </w:r>
      <w:r w:rsidRPr="00FE54E1">
        <w:rPr>
          <w:rFonts w:ascii="Cambria" w:hAnsi="Cambria" w:cstheme="majorBidi"/>
          <w:sz w:val="22"/>
          <w:szCs w:val="22"/>
        </w:rPr>
        <w:t xml:space="preserve"> provides an overview of the research work at HOHM Foundation and the most inspiring results from the last 5 years, highlighting important findings from our numerous </w:t>
      </w:r>
      <w:r w:rsidR="00D82E0A" w:rsidRPr="00FE54E1">
        <w:rPr>
          <w:rFonts w:ascii="Cambria" w:hAnsi="Cambria" w:cstheme="majorBidi"/>
          <w:sz w:val="22"/>
          <w:szCs w:val="22"/>
        </w:rPr>
        <w:t xml:space="preserve">published and ongoing </w:t>
      </w:r>
      <w:r w:rsidRPr="00FE54E1">
        <w:rPr>
          <w:rFonts w:ascii="Cambria" w:hAnsi="Cambria" w:cstheme="majorBidi"/>
          <w:sz w:val="22"/>
          <w:szCs w:val="22"/>
        </w:rPr>
        <w:t xml:space="preserve">research projects. </w:t>
      </w:r>
      <w:r w:rsidRPr="000D2BD0">
        <w:rPr>
          <w:rFonts w:ascii="Cambria" w:hAnsi="Cambria" w:cstheme="majorBidi"/>
          <w:i/>
          <w:iCs/>
          <w:sz w:val="22"/>
          <w:szCs w:val="22"/>
        </w:rPr>
        <w:t>Methods</w:t>
      </w:r>
      <w:r w:rsidRPr="00FE54E1">
        <w:rPr>
          <w:rFonts w:ascii="Cambria" w:hAnsi="Cambria" w:cstheme="majorBidi"/>
          <w:sz w:val="22"/>
          <w:szCs w:val="22"/>
        </w:rPr>
        <w:t>:</w:t>
      </w:r>
      <w:r w:rsidR="00117652" w:rsidRPr="00FE54E1">
        <w:rPr>
          <w:rFonts w:ascii="Cambria" w:hAnsi="Cambria" w:cstheme="majorBidi"/>
          <w:sz w:val="22"/>
          <w:szCs w:val="22"/>
        </w:rPr>
        <w:t xml:space="preserve"> </w:t>
      </w:r>
      <w:r w:rsidR="000D2BD0" w:rsidRPr="00FE54E1">
        <w:rPr>
          <w:rFonts w:ascii="Cambria" w:hAnsi="Cambria" w:cstheme="majorBidi"/>
          <w:sz w:val="22"/>
          <w:szCs w:val="22"/>
        </w:rPr>
        <w:t xml:space="preserve">HOHM Foundation officially launched its Office of Research (HOHM Research) in 2017 in keeping with the mission to enrich and support </w:t>
      </w:r>
      <w:r w:rsidR="000D2BD0">
        <w:rPr>
          <w:rFonts w:ascii="Cambria" w:hAnsi="Cambria" w:cstheme="majorBidi"/>
          <w:sz w:val="22"/>
          <w:szCs w:val="22"/>
        </w:rPr>
        <w:t>homeopathy,</w:t>
      </w:r>
      <w:r w:rsidR="000D2BD0" w:rsidRPr="00FE54E1">
        <w:rPr>
          <w:rFonts w:ascii="Cambria" w:hAnsi="Cambria" w:cstheme="majorBidi"/>
          <w:sz w:val="22"/>
          <w:szCs w:val="22"/>
        </w:rPr>
        <w:t xml:space="preserve"> </w:t>
      </w:r>
      <w:r w:rsidR="000D2BD0">
        <w:rPr>
          <w:rFonts w:ascii="Cambria" w:hAnsi="Cambria" w:cstheme="majorBidi"/>
          <w:sz w:val="22"/>
          <w:szCs w:val="22"/>
        </w:rPr>
        <w:t>and an</w:t>
      </w:r>
      <w:r w:rsidR="000D2BD0" w:rsidRPr="000D2BD0">
        <w:rPr>
          <w:rFonts w:ascii="Cambria" w:hAnsi="Cambria" w:cstheme="majorBidi"/>
          <w:sz w:val="22"/>
          <w:szCs w:val="22"/>
        </w:rPr>
        <w:t xml:space="preserve"> </w:t>
      </w:r>
      <w:r w:rsidR="000D2BD0" w:rsidRPr="00FE54E1">
        <w:rPr>
          <w:rFonts w:ascii="Cambria" w:hAnsi="Cambria" w:cstheme="majorBidi"/>
          <w:sz w:val="22"/>
          <w:szCs w:val="22"/>
        </w:rPr>
        <w:t xml:space="preserve">overarching </w:t>
      </w:r>
      <w:r w:rsidR="000D2BD0">
        <w:rPr>
          <w:rFonts w:ascii="Cambria" w:hAnsi="Cambria" w:cstheme="majorBidi"/>
          <w:sz w:val="22"/>
          <w:szCs w:val="22"/>
        </w:rPr>
        <w:t>aim</w:t>
      </w:r>
      <w:r w:rsidR="000D2BD0" w:rsidRPr="00FE54E1">
        <w:rPr>
          <w:rFonts w:ascii="Cambria" w:hAnsi="Cambria" w:cstheme="majorBidi"/>
          <w:sz w:val="22"/>
          <w:szCs w:val="22"/>
        </w:rPr>
        <w:t xml:space="preserve"> to build infrastructure where</w:t>
      </w:r>
      <w:r w:rsidR="00B03AE4">
        <w:rPr>
          <w:rFonts w:ascii="Cambria" w:hAnsi="Cambria" w:cstheme="majorBidi"/>
          <w:sz w:val="22"/>
          <w:szCs w:val="22"/>
        </w:rPr>
        <w:t>by</w:t>
      </w:r>
      <w:r w:rsidR="000D2BD0" w:rsidRPr="00FE54E1">
        <w:rPr>
          <w:rFonts w:ascii="Cambria" w:hAnsi="Cambria" w:cstheme="majorBidi"/>
          <w:sz w:val="22"/>
          <w:szCs w:val="22"/>
        </w:rPr>
        <w:t xml:space="preserve"> rigorous outcomes-based research supports the deepening and expansion of the discipline of Homeopathy</w:t>
      </w:r>
      <w:r w:rsidR="00D82E0A" w:rsidRPr="00FE54E1">
        <w:rPr>
          <w:rFonts w:ascii="Cambria" w:hAnsi="Cambria" w:cstheme="majorBidi"/>
          <w:sz w:val="22"/>
          <w:szCs w:val="22"/>
        </w:rPr>
        <w:t>.</w:t>
      </w:r>
      <w:r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 </w:t>
      </w:r>
      <w:r w:rsidRPr="000D2BD0">
        <w:rPr>
          <w:rStyle w:val="Strong"/>
          <w:rFonts w:ascii="Cambria" w:hAnsi="Cambria" w:cstheme="majorBidi"/>
          <w:b w:val="0"/>
          <w:bCs w:val="0"/>
          <w:i/>
          <w:iCs/>
          <w:sz w:val="22"/>
          <w:szCs w:val="22"/>
        </w:rPr>
        <w:t>Results</w:t>
      </w:r>
      <w:r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>:</w:t>
      </w:r>
      <w:r w:rsidR="00395F63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 </w:t>
      </w:r>
      <w:r w:rsidR="00D82E0A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Recent </w:t>
      </w:r>
      <w:r w:rsidR="00117652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peer-reviewed </w:t>
      </w:r>
      <w:r w:rsidR="005A00A0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>publications</w:t>
      </w:r>
      <w:r w:rsidR="00117652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 include </w:t>
      </w:r>
      <w:r w:rsidR="00AD284E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>five</w:t>
      </w:r>
      <w:r w:rsidR="00D82E0A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 papers on the education of complementary and integrative medicine practitioners, as well as three</w:t>
      </w:r>
      <w:r w:rsidR="00117652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 xml:space="preserve">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o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bservational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ase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s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eries </w:t>
      </w:r>
      <w:r w:rsidR="00EF2645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of s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elected COVID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-19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="00EF2645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ases from the HHN Clinic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. Additional papers based on the 5000+ dataset of acute cases from the Homeopathy Help Network (HHN) clinic are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currently being </w:t>
      </w:r>
      <w:r w:rsidR="00AD284E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prepared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. From the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Practitioner Generated Research Network (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PGRN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)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–</w:t>
      </w:r>
      <w:r w:rsidR="00FE54E1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an organization promoting</w:t>
      </w:r>
      <w:r w:rsidR="00FE54E1" w:rsidRPr="00395F63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practice-based, patient-focused, practitioner-generated research that potentizes the profession of homeopathy and expands it into the larger scientific and integrative medical communities</w:t>
      </w:r>
      <w:r w:rsidR="000D2BD0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-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 paper exploring a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ttitudes to and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u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ptake of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r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epertory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s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oftware in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h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omeopathy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linical 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p</w:t>
      </w:r>
      <w:r w:rsidR="00117652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ractice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was published in </w:t>
      </w:r>
      <w:r w:rsidR="00117652" w:rsidRPr="00FE54E1">
        <w:rPr>
          <w:rFonts w:ascii="Cambria" w:eastAsia="Times New Roman" w:hAnsi="Cambria" w:cstheme="majorBidi"/>
          <w:i/>
          <w:iCs/>
          <w:kern w:val="0"/>
          <w:sz w:val="22"/>
          <w:szCs w:val="22"/>
          <w14:ligatures w14:val="none"/>
        </w:rPr>
        <w:t>Homeopathy</w:t>
      </w:r>
      <w:r w:rsidR="00117652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in 2023.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Current papers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from the PGRN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in the publication phase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include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an o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bservational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linical 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ase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s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eries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using 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MYMOP </w:t>
      </w:r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2017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-</w:t>
      </w:r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20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, and an</w:t>
      </w:r>
      <w:r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o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bservational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linical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ase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s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eries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using </w:t>
      </w:r>
      <w:proofErr w:type="spellStart"/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MYC</w:t>
      </w:r>
      <w:r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aW</w:t>
      </w:r>
      <w:proofErr w:type="spellEnd"/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2020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-</w:t>
      </w:r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22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data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, both 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collected from clients who attended the 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</w:t>
      </w:r>
      <w:r w:rsidR="000D2BD0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cademy of Homeopathy Education (A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HE</w:t>
      </w:r>
      <w:r w:rsidR="000D2BD0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)</w:t>
      </w:r>
      <w:r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chronic clinic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. </w:t>
      </w:r>
      <w:r w:rsidR="00395F63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Other </w:t>
      </w:r>
      <w:r w:rsidR="000D2BD0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current </w:t>
      </w:r>
      <w:r w:rsidR="00D82E0A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research </w:t>
      </w:r>
      <w:r w:rsidR="00395F63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work focusses </w:t>
      </w:r>
      <w:r w:rsidR="005A00A0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on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</w:t>
      </w:r>
      <w:r w:rsidR="005A00A0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rtificial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i</w:t>
      </w:r>
      <w:r w:rsidR="005A00A0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ntelligence in Homeopathy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,</w:t>
      </w:r>
      <w:r w:rsidR="005A00A0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395F63" w:rsidRPr="00FE54E1">
        <w:rPr>
          <w:rFonts w:ascii="Cambria" w:eastAsia="Times New Roman" w:hAnsi="Cambria" w:cstheme="majorBidi"/>
          <w:color w:val="000000"/>
          <w:kern w:val="0"/>
          <w:sz w:val="22"/>
          <w:szCs w:val="22"/>
          <w14:ligatures w14:val="none"/>
        </w:rPr>
        <w:t xml:space="preserve">on the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c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haracteristics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, </w:t>
      </w:r>
      <w:proofErr w:type="gramStart"/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demographics</w:t>
      </w:r>
      <w:proofErr w:type="gramEnd"/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and</w:t>
      </w:r>
      <w:r w:rsidR="00D82E0A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perceptions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of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u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sers of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h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omeopathy in the US</w:t>
      </w:r>
      <w:r w:rsidR="000D2BD0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, t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he 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2022 North American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h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omeopathy education surveys, the 2023 North American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w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orkforce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s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urvey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,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and a clinical trial on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Homeopathy in the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m</w:t>
      </w:r>
      <w:r w:rsidR="00395F63" w:rsidRPr="00084F99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anagement of Silicosis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 </w:t>
      </w:r>
      <w:r w:rsidR="00B03AE4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taking place </w:t>
      </w:r>
      <w:r w:rsidR="00395F63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in Brazil</w:t>
      </w:r>
      <w:r w:rsidR="000D2BD0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. </w:t>
      </w:r>
      <w:r w:rsidR="00D82E0A" w:rsidRPr="000D2BD0">
        <w:rPr>
          <w:rFonts w:ascii="Cambria" w:eastAsia="Times New Roman" w:hAnsi="Cambria" w:cstheme="majorBidi"/>
          <w:i/>
          <w:iCs/>
          <w:kern w:val="0"/>
          <w:sz w:val="22"/>
          <w:szCs w:val="22"/>
          <w14:ligatures w14:val="none"/>
        </w:rPr>
        <w:t>Discussion</w:t>
      </w:r>
      <w:r w:rsidR="00D82E0A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>:</w:t>
      </w:r>
      <w:r w:rsidR="00D82E0A" w:rsidRPr="00FE54E1">
        <w:rPr>
          <w:rFonts w:ascii="Cambria" w:eastAsia="Times New Roman" w:hAnsi="Cambria" w:cstheme="majorBidi"/>
          <w:b/>
          <w:bCs/>
          <w:kern w:val="0"/>
          <w:sz w:val="22"/>
          <w:szCs w:val="22"/>
          <w14:ligatures w14:val="none"/>
        </w:rPr>
        <w:t xml:space="preserve"> </w:t>
      </w:r>
      <w:r w:rsidR="005A00A0" w:rsidRPr="00FE54E1">
        <w:rPr>
          <w:rFonts w:ascii="Cambria" w:eastAsia="Times New Roman" w:hAnsi="Cambria" w:cstheme="majorBidi"/>
          <w:kern w:val="0"/>
          <w:sz w:val="22"/>
          <w:szCs w:val="22"/>
          <w14:ligatures w14:val="none"/>
        </w:rPr>
        <w:t xml:space="preserve">HOHM Research produces robust, relevant publications, </w:t>
      </w:r>
      <w:r w:rsidR="005A00A0" w:rsidRPr="00FE54E1">
        <w:rPr>
          <w:rStyle w:val="Strong"/>
          <w:rFonts w:ascii="Cambria" w:hAnsi="Cambria" w:cstheme="majorBidi"/>
          <w:b w:val="0"/>
          <w:bCs w:val="0"/>
          <w:sz w:val="22"/>
          <w:szCs w:val="22"/>
        </w:rPr>
        <w:t>and bring awareness of the effectiveness of homeopathy through real-world, outcomes-based research, focusing on clinical, historical, and educational research outputs.</w:t>
      </w:r>
    </w:p>
    <w:p w14:paraId="7D0222B7" w14:textId="706ABD8C" w:rsidR="00084F99" w:rsidRDefault="00084F99" w:rsidP="00084F99">
      <w:pPr>
        <w:spacing w:after="160"/>
        <w:jc w:val="both"/>
        <w:rPr>
          <w:rFonts w:ascii="Cambria" w:eastAsia="Times New Roman" w:hAnsi="Cambria" w:cs="Times New Roman"/>
          <w:color w:val="000000"/>
          <w:kern w:val="0"/>
          <w:sz w:val="22"/>
          <w:szCs w:val="22"/>
          <w14:ligatures w14:val="none"/>
        </w:rPr>
      </w:pPr>
      <w:r w:rsidRPr="00084F99">
        <w:rPr>
          <w:rFonts w:ascii="Cambria" w:eastAsia="Times New Roman" w:hAnsi="Cambria" w:cs="Times New Roman"/>
          <w:color w:val="000000"/>
          <w:kern w:val="0"/>
          <w:sz w:val="22"/>
          <w:szCs w:val="22"/>
          <w14:ligatures w14:val="none"/>
        </w:rPr>
        <w:t>300 words</w:t>
      </w:r>
    </w:p>
    <w:p w14:paraId="13408B2C" w14:textId="77777777" w:rsidR="00FE54E1" w:rsidRPr="00084F99" w:rsidRDefault="00FE54E1" w:rsidP="00084F99">
      <w:pPr>
        <w:spacing w:after="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FABCF1" w14:textId="06FF85DD" w:rsidR="00084F99" w:rsidRPr="00084F99" w:rsidRDefault="00084F99" w:rsidP="00084F99">
      <w:pPr>
        <w:spacing w:after="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Keywords </w:t>
      </w:r>
    </w:p>
    <w:p w14:paraId="0F2F4A23" w14:textId="372C90B7" w:rsidR="00084F99" w:rsidRPr="00084F99" w:rsidRDefault="00E451AB" w:rsidP="00084F99">
      <w:pPr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</w:pPr>
      <w:r w:rsidRPr="00FE54E1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Homeopathy, Practitioner Generated Research Network, </w:t>
      </w:r>
      <w:r w:rsidR="00FE54E1" w:rsidRPr="00FE54E1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 xml:space="preserve">Outcomes, </w:t>
      </w:r>
      <w:proofErr w:type="spellStart"/>
      <w:r w:rsidR="00FE54E1" w:rsidRPr="00FE54E1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MYCaW</w:t>
      </w:r>
      <w:proofErr w:type="spellEnd"/>
      <w:r w:rsidR="00FE54E1" w:rsidRPr="00FE54E1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t>, HOHM Research</w:t>
      </w:r>
      <w:r w:rsidR="00084F99" w:rsidRPr="00084F99">
        <w:rPr>
          <w:rFonts w:ascii="Cambria" w:eastAsia="Times New Roman" w:hAnsi="Cambria" w:cs="Times New Roman"/>
          <w:kern w:val="0"/>
          <w:sz w:val="22"/>
          <w:szCs w:val="22"/>
          <w14:ligatures w14:val="none"/>
        </w:rPr>
        <w:br/>
      </w:r>
      <w:r w:rsidR="00084F99" w:rsidRPr="00084F99">
        <w:rPr>
          <w:rFonts w:ascii="Cambria" w:eastAsia="Times New Roman" w:hAnsi="Cambria" w:cs="Times New Roman"/>
          <w:color w:val="000000"/>
          <w:kern w:val="0"/>
          <w:sz w:val="22"/>
          <w:szCs w:val="22"/>
          <w14:ligatures w14:val="none"/>
        </w:rPr>
        <w:br/>
      </w:r>
    </w:p>
    <w:p w14:paraId="0D5BDCB5" w14:textId="33EF77C2" w:rsidR="00084F99" w:rsidRPr="00FE54E1" w:rsidRDefault="00084F99" w:rsidP="00FE54E1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color w:val="000000"/>
          <w:kern w:val="0"/>
          <w14:ligatures w14:val="none"/>
        </w:rPr>
        <w:t xml:space="preserve">References </w:t>
      </w:r>
    </w:p>
    <w:p w14:paraId="324CD7E5" w14:textId="77777777" w:rsidR="00E451AB" w:rsidRPr="00084F99" w:rsidRDefault="00E451AB" w:rsidP="00E451AB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lastRenderedPageBreak/>
        <w:t>Pracjek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P, Gray A, Doherty R,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Straiges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D. (2023) An Observational Case Series Part 6: Selected COVID Cases from the HHN Clinic (Strange, </w:t>
      </w:r>
      <w:proofErr w:type="gramStart"/>
      <w:r w:rsidRPr="00084F99">
        <w:rPr>
          <w:rFonts w:ascii="Cambria" w:eastAsia="Times New Roman" w:hAnsi="Cambria" w:cs="Times New Roman"/>
          <w:kern w:val="0"/>
          <w14:ligatures w14:val="none"/>
        </w:rPr>
        <w:t>Rare</w:t>
      </w:r>
      <w:proofErr w:type="gram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and Peculiar) 2023 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Homeopathy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. In print</w:t>
      </w:r>
      <w:r w:rsidRPr="00FE54E1">
        <w:rPr>
          <w:rFonts w:ascii="Cambria" w:eastAsia="Times New Roman" w:hAnsi="Cambria" w:cs="Times New Roman"/>
          <w:kern w:val="0"/>
          <w14:ligatures w14:val="none"/>
        </w:rPr>
        <w:t>.</w:t>
      </w:r>
    </w:p>
    <w:p w14:paraId="4BC67ED2" w14:textId="77777777" w:rsidR="00084F99" w:rsidRPr="00084F99" w:rsidRDefault="00084F99" w:rsidP="00084F9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Pracjek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P, Gray A, Doherty R,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Straiges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D. (2023) An Observational Case Series: Selected COVID Cases from the HHN Clinic, Part 2: Multiple Remedies 2. 2023 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Similar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, Journal of the Australian Homeopathic Association. In print</w:t>
      </w:r>
    </w:p>
    <w:p w14:paraId="4E084B7E" w14:textId="77777777" w:rsidR="00FE54E1" w:rsidRPr="00FE54E1" w:rsidRDefault="00084F99" w:rsidP="00FE54E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Pracjek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P, Gray A, Doherty R,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Straiges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D. (2023) An Observational Case Series – Part 4: Selected COVID cases with a focus on posology from the HHN Clinic. 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American Journal of Homeopathic Medicine 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Journal of the American Institute of Homeopathy (AIH). In print</w:t>
      </w:r>
    </w:p>
    <w:p w14:paraId="38FAA2BE" w14:textId="673A98E4" w:rsidR="00084F99" w:rsidRPr="00084F99" w:rsidRDefault="00084F99" w:rsidP="00FE54E1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Gray A.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Pracjek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P.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Straiges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D. (2022) Attitudes to and Uptake of Repertory Software in Homeopathy Clinical Practice—Results of an International Survey. 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Homeopathy</w:t>
      </w:r>
      <w:r w:rsidR="00FE54E1" w:rsidRPr="00FE54E1">
        <w:rPr>
          <w:rFonts w:ascii="Cambria" w:eastAsia="Times New Roman" w:hAnsi="Cambria" w:cs="Times New Roman"/>
          <w:kern w:val="0"/>
          <w14:ligatures w14:val="none"/>
        </w:rPr>
        <w:t xml:space="preserve">. 2023 May;112(2):97-106. </w:t>
      </w:r>
      <w:proofErr w:type="spellStart"/>
      <w:r w:rsidR="00FE54E1" w:rsidRPr="00FE54E1">
        <w:rPr>
          <w:rFonts w:ascii="Cambria" w:eastAsia="Times New Roman" w:hAnsi="Cambria" w:cs="Times New Roman"/>
          <w:kern w:val="0"/>
          <w14:ligatures w14:val="none"/>
        </w:rPr>
        <w:t>doi</w:t>
      </w:r>
      <w:proofErr w:type="spellEnd"/>
      <w:r w:rsidR="00FE54E1" w:rsidRPr="00FE54E1">
        <w:rPr>
          <w:rFonts w:ascii="Cambria" w:eastAsia="Times New Roman" w:hAnsi="Cambria" w:cs="Times New Roman"/>
          <w:kern w:val="0"/>
          <w14:ligatures w14:val="none"/>
        </w:rPr>
        <w:t xml:space="preserve">: 10.1055/s-0042-1748841. </w:t>
      </w:r>
      <w:proofErr w:type="spellStart"/>
      <w:r w:rsidR="00FE54E1" w:rsidRPr="00FE54E1">
        <w:rPr>
          <w:rFonts w:ascii="Cambria" w:eastAsia="Times New Roman" w:hAnsi="Cambria" w:cs="Times New Roman"/>
          <w:kern w:val="0"/>
          <w14:ligatures w14:val="none"/>
        </w:rPr>
        <w:t>Epub</w:t>
      </w:r>
      <w:proofErr w:type="spellEnd"/>
      <w:r w:rsidR="00FE54E1" w:rsidRPr="00FE54E1">
        <w:rPr>
          <w:rFonts w:ascii="Cambria" w:eastAsia="Times New Roman" w:hAnsi="Cambria" w:cs="Times New Roman"/>
          <w:kern w:val="0"/>
          <w14:ligatures w14:val="none"/>
        </w:rPr>
        <w:t xml:space="preserve"> 2022 Sep 22</w:t>
      </w:r>
    </w:p>
    <w:p w14:paraId="024220BA" w14:textId="15B29D04" w:rsidR="00084F99" w:rsidRPr="00084F99" w:rsidRDefault="00084F99" w:rsidP="00084F9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Gray A, Steel A, Adams J, (2022). </w:t>
      </w:r>
      <w:hyperlink r:id="rId7" w:history="1">
        <w:r w:rsidR="005C25E0" w:rsidRPr="00FE54E1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Learning technologies</w:t>
        </w:r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 xml:space="preserve"> and health technologies in complementary medicine clinical work and education: Examination of the perspectives of academics and students in Australia and the US</w:t>
        </w:r>
      </w:hyperlink>
      <w:r w:rsidRPr="00084F99">
        <w:rPr>
          <w:rFonts w:ascii="Cambria" w:eastAsia="Times New Roman" w:hAnsi="Cambria" w:cs="Times New Roman"/>
          <w:kern w:val="0"/>
          <w14:ligatures w14:val="none"/>
        </w:rPr>
        <w:t>, 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Advances in Integrative Medicine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, 2022 March, Vol 9,1, pp22-</w:t>
      </w:r>
      <w:proofErr w:type="gramStart"/>
      <w:r w:rsidRPr="00084F99">
        <w:rPr>
          <w:rFonts w:ascii="Cambria" w:eastAsia="Times New Roman" w:hAnsi="Cambria" w:cs="Times New Roman"/>
          <w:kern w:val="0"/>
          <w14:ligatures w14:val="none"/>
        </w:rPr>
        <w:t>29</w:t>
      </w:r>
      <w:proofErr w:type="gramEnd"/>
      <w:r w:rsidRPr="00084F99">
        <w:rPr>
          <w:rFonts w:ascii="Cambria" w:eastAsia="Times New Roman" w:hAnsi="Cambria" w:cs="Times New Roman"/>
          <w:kern w:val="0"/>
          <w14:ligatures w14:val="none"/>
        </w:rPr>
        <w:t> </w:t>
      </w:r>
    </w:p>
    <w:p w14:paraId="3DEE40E9" w14:textId="77777777" w:rsidR="00084F99" w:rsidRPr="00084F99" w:rsidRDefault="00084F99" w:rsidP="00084F9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Gray A, Steel A, Adams J. (2021) </w:t>
      </w:r>
      <w:hyperlink r:id="rId8" w:history="1"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An examination of technologies in complementary medicine education and practice: The perceptions and experiences of naturopathy students, faculty and educational leaders.</w:t>
        </w:r>
      </w:hyperlink>
      <w:r w:rsidRPr="00084F99">
        <w:rPr>
          <w:rFonts w:ascii="Cambria" w:eastAsia="Times New Roman" w:hAnsi="Cambria" w:cs="Times New Roman"/>
          <w:kern w:val="0"/>
          <w14:ligatures w14:val="none"/>
        </w:rPr>
        <w:t> 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Complementary Therapies in Medicine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 </w:t>
      </w:r>
    </w:p>
    <w:p w14:paraId="783CED1B" w14:textId="77777777" w:rsidR="00084F99" w:rsidRPr="00084F99" w:rsidRDefault="00084F99" w:rsidP="00084F9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Gray, A. C., Steel, A., &amp; Adams, J. (2021). </w:t>
      </w:r>
      <w:hyperlink r:id="rId9" w:history="1"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 xml:space="preserve">Complementary medicine students’ perceptions, </w:t>
        </w:r>
        <w:proofErr w:type="gramStart"/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perspectives</w:t>
        </w:r>
        <w:proofErr w:type="gramEnd"/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 xml:space="preserve"> and experiences of learning technologies. A survey conducted in the US and Australia.</w:t>
        </w:r>
      </w:hyperlink>
      <w:r w:rsidRPr="00084F99">
        <w:rPr>
          <w:rFonts w:ascii="Cambria" w:eastAsia="Times New Roman" w:hAnsi="Cambria" w:cs="Times New Roman"/>
          <w:kern w:val="0"/>
          <w14:ligatures w14:val="none"/>
        </w:rPr>
        <w:t> 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European Journal of Integrative Medicine</w:t>
      </w:r>
      <w:r w:rsidRPr="00084F99">
        <w:rPr>
          <w:rFonts w:ascii="Cambria" w:eastAsia="Times New Roman" w:hAnsi="Cambria" w:cs="Times New Roman"/>
          <w:kern w:val="0"/>
          <w14:ligatures w14:val="none"/>
        </w:rPr>
        <w:t>. 2021 Jan 30:101304 </w:t>
      </w:r>
    </w:p>
    <w:p w14:paraId="54611A12" w14:textId="77777777" w:rsidR="00084F99" w:rsidRPr="00084F99" w:rsidRDefault="00084F99" w:rsidP="00084F99">
      <w:pPr>
        <w:numPr>
          <w:ilvl w:val="0"/>
          <w:numId w:val="1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Gray A, Diezel H, Steel A (2019) </w:t>
      </w:r>
      <w:hyperlink r:id="rId10" w:history="1">
        <w:r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The use of learning technologies in complementary medicine education: Results of a student technology survey</w:t>
        </w:r>
      </w:hyperlink>
      <w:r w:rsidRPr="00084F99">
        <w:rPr>
          <w:rFonts w:ascii="Cambria" w:eastAsia="Times New Roman" w:hAnsi="Cambria" w:cs="Times New Roman"/>
          <w:kern w:val="0"/>
          <w14:ligatures w14:val="none"/>
        </w:rPr>
        <w:t> 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Advances in Integrative Medicine </w:t>
      </w:r>
    </w:p>
    <w:p w14:paraId="6F11C49C" w14:textId="77777777" w:rsidR="00084F99" w:rsidRPr="00084F99" w:rsidRDefault="00084F99" w:rsidP="00084F99">
      <w:pPr>
        <w:spacing w:before="100" w:beforeAutospacing="1" w:after="100" w:afterAutospacing="1"/>
        <w:outlineLvl w:val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kern w:val="0"/>
          <w14:ligatures w14:val="none"/>
        </w:rPr>
        <w:t>Textbooks</w:t>
      </w:r>
    </w:p>
    <w:p w14:paraId="3022633C" w14:textId="10DA31E2" w:rsidR="00FE54E1" w:rsidRDefault="00FE54E1" w:rsidP="00084F99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proofErr w:type="spellStart"/>
      <w:r>
        <w:rPr>
          <w:rFonts w:ascii="Cambria" w:eastAsia="Times New Roman" w:hAnsi="Cambria" w:cs="Times New Roman"/>
          <w:kern w:val="0"/>
          <w14:ligatures w14:val="none"/>
        </w:rPr>
        <w:t>Straiges</w:t>
      </w:r>
      <w:proofErr w:type="spellEnd"/>
      <w:r>
        <w:rPr>
          <w:rFonts w:ascii="Cambria" w:eastAsia="Times New Roman" w:hAnsi="Cambria" w:cs="Times New Roman"/>
          <w:kern w:val="0"/>
          <w14:ligatures w14:val="none"/>
        </w:rPr>
        <w:t xml:space="preserve"> D (2023) 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Contingent Evolution: Homeopathy and 19th Century Biomedicine</w:t>
      </w:r>
      <w:r w:rsidRPr="00FE54E1">
        <w:rPr>
          <w:rFonts w:ascii="Cambria" w:eastAsia="Times New Roman" w:hAnsi="Cambria" w:cs="Times New Roman"/>
          <w:i/>
          <w:iCs/>
          <w:kern w:val="0"/>
          <w14:ligatures w14:val="none"/>
        </w:rPr>
        <w:t>.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HOHM Partners Publishing. Philadelphia </w:t>
      </w:r>
    </w:p>
    <w:p w14:paraId="17B08BA9" w14:textId="73D4A6AE" w:rsidR="00084F99" w:rsidRPr="00084F99" w:rsidRDefault="00084F99" w:rsidP="00084F99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>Gray A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 (2019) </w:t>
      </w:r>
      <w:hyperlink r:id="rId11" w:history="1"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The Landscape of Homeopathic Medicine Vol I Case Taking 4</w:t>
        </w:r>
        <w:r w:rsidRPr="00084F99">
          <w:rPr>
            <w:rFonts w:ascii="Cambria" w:eastAsia="Times New Roman" w:hAnsi="Cambria" w:cs="Times New Roman"/>
            <w:i/>
            <w:iCs/>
            <w:kern w:val="0"/>
            <w:vertAlign w:val="superscript"/>
            <w14:ligatures w14:val="none"/>
          </w:rPr>
          <w:t>th</w:t>
        </w:r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 Edition </w:t>
        </w:r>
        <w:proofErr w:type="spellStart"/>
      </w:hyperlink>
      <w:r w:rsidRPr="00084F99">
        <w:rPr>
          <w:rFonts w:ascii="Cambria" w:eastAsia="Times New Roman" w:hAnsi="Cambria" w:cs="Times New Roman"/>
          <w:kern w:val="0"/>
          <w14:ligatures w14:val="none"/>
        </w:rPr>
        <w:t>HoHM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 w:rsidR="00FE54E1">
        <w:rPr>
          <w:rFonts w:ascii="Cambria" w:eastAsia="Times New Roman" w:hAnsi="Cambria" w:cs="Times New Roman"/>
          <w:kern w:val="0"/>
          <w14:ligatures w14:val="none"/>
        </w:rPr>
        <w:t>Partners Publishing. Philadelphia</w:t>
      </w:r>
      <w:r w:rsidRPr="00084F99">
        <w:rPr>
          <w:rFonts w:ascii="Cambria" w:eastAsia="Times New Roman" w:hAnsi="Cambria" w:cs="Times New Roman"/>
          <w:kern w:val="0"/>
          <w14:ligatures w14:val="none"/>
        </w:rPr>
        <w:br/>
        <w:t xml:space="preserve">Publishing USA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ebook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edition</w:t>
      </w:r>
    </w:p>
    <w:p w14:paraId="6AEA96F4" w14:textId="1062A8B9" w:rsidR="00084F99" w:rsidRPr="00084F99" w:rsidRDefault="00084F99" w:rsidP="00084F99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>Gray A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 (2019) </w:t>
      </w:r>
      <w:hyperlink r:id="rId12" w:history="1"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The Landscape of Homeopathic Medicine Vol III Case Management 3</w:t>
        </w:r>
        <w:r w:rsidRPr="00084F99">
          <w:rPr>
            <w:rFonts w:ascii="Cambria" w:eastAsia="Times New Roman" w:hAnsi="Cambria" w:cs="Times New Roman"/>
            <w:i/>
            <w:iCs/>
            <w:kern w:val="0"/>
            <w:vertAlign w:val="superscript"/>
            <w14:ligatures w14:val="none"/>
          </w:rPr>
          <w:t>rd</w:t>
        </w:r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 Edition</w:t>
        </w:r>
      </w:hyperlink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 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HoHM</w:t>
      </w:r>
      <w:proofErr w:type="spellEnd"/>
      <w:r w:rsidR="00FE54E1">
        <w:rPr>
          <w:rFonts w:ascii="Cambria" w:eastAsia="Times New Roman" w:hAnsi="Cambria" w:cs="Times New Roman"/>
          <w:kern w:val="0"/>
          <w14:ligatures w14:val="none"/>
        </w:rPr>
        <w:t xml:space="preserve"> Partners Publishing. Philadelphia</w:t>
      </w:r>
      <w:r w:rsidRPr="00084F99">
        <w:rPr>
          <w:rFonts w:ascii="Cambria" w:eastAsia="Times New Roman" w:hAnsi="Cambria" w:cs="Times New Roman"/>
          <w:kern w:val="0"/>
          <w14:ligatures w14:val="none"/>
        </w:rPr>
        <w:br/>
        <w:t xml:space="preserve">Partners Publishing USA 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ebook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edition</w:t>
      </w:r>
    </w:p>
    <w:p w14:paraId="44ADF033" w14:textId="77777777" w:rsidR="00084F99" w:rsidRPr="00084F99" w:rsidRDefault="00084F99" w:rsidP="00084F99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kern w:val="0"/>
          <w14:ligatures w14:val="none"/>
        </w:rPr>
        <w:t>Gray A</w:t>
      </w:r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 xml:space="preserve"> (2019) </w:t>
      </w:r>
      <w:hyperlink r:id="rId13" w:history="1"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The Landscape of Homeopathic Medicine Vol II Method 2</w:t>
        </w:r>
        <w:r w:rsidRPr="00084F99">
          <w:rPr>
            <w:rFonts w:ascii="Cambria" w:eastAsia="Times New Roman" w:hAnsi="Cambria" w:cs="Times New Roman"/>
            <w:i/>
            <w:iCs/>
            <w:kern w:val="0"/>
            <w:vertAlign w:val="superscript"/>
            <w14:ligatures w14:val="none"/>
          </w:rPr>
          <w:t>nd</w:t>
        </w:r>
        <w:r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 Edition</w:t>
        </w:r>
      </w:hyperlink>
      <w:r w:rsidRPr="00084F99">
        <w:rPr>
          <w:rFonts w:ascii="Cambria" w:eastAsia="Times New Roman" w:hAnsi="Cambria" w:cs="Times New Roman"/>
          <w:i/>
          <w:iCs/>
          <w:kern w:val="0"/>
          <w14:ligatures w14:val="none"/>
        </w:rPr>
        <w:t> </w:t>
      </w:r>
      <w:proofErr w:type="spellStart"/>
      <w:r w:rsidRPr="00084F99">
        <w:rPr>
          <w:rFonts w:ascii="Cambria" w:eastAsia="Times New Roman" w:hAnsi="Cambria" w:cs="Times New Roman"/>
          <w:kern w:val="0"/>
          <w14:ligatures w14:val="none"/>
        </w:rPr>
        <w:t>BJain</w:t>
      </w:r>
      <w:proofErr w:type="spellEnd"/>
      <w:r w:rsidRPr="00084F99">
        <w:rPr>
          <w:rFonts w:ascii="Cambria" w:eastAsia="Times New Roman" w:hAnsi="Cambria" w:cs="Times New Roman"/>
          <w:kern w:val="0"/>
          <w14:ligatures w14:val="none"/>
        </w:rPr>
        <w:t xml:space="preserve"> India</w:t>
      </w:r>
    </w:p>
    <w:p w14:paraId="5FE49B09" w14:textId="77777777" w:rsidR="00084F99" w:rsidRPr="00084F99" w:rsidRDefault="00084F99" w:rsidP="00084F99">
      <w:pPr>
        <w:spacing w:before="100" w:beforeAutospacing="1" w:after="100" w:afterAutospacing="1"/>
        <w:outlineLvl w:val="1"/>
        <w:rPr>
          <w:rFonts w:ascii="Cambria" w:eastAsia="Times New Roman" w:hAnsi="Cambria" w:cs="Times New Roman"/>
          <w:kern w:val="0"/>
          <w14:ligatures w14:val="none"/>
        </w:rPr>
      </w:pPr>
      <w:r w:rsidRPr="00084F99">
        <w:rPr>
          <w:rFonts w:ascii="Cambria" w:eastAsia="Times New Roman" w:hAnsi="Cambria" w:cs="Times New Roman"/>
          <w:b/>
          <w:bCs/>
          <w:kern w:val="0"/>
          <w14:ligatures w14:val="none"/>
        </w:rPr>
        <w:t>Theses</w:t>
      </w:r>
    </w:p>
    <w:p w14:paraId="11ECA13D" w14:textId="61B96A12" w:rsidR="00FE54E1" w:rsidRPr="00084F99" w:rsidRDefault="00000000" w:rsidP="000D2BD0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hyperlink r:id="rId14" w:history="1">
        <w:r w:rsidR="00084F99"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Gray, Alastair C.</w:t>
        </w:r>
      </w:hyperlink>
      <w:r w:rsidR="00084F99" w:rsidRPr="00084F99">
        <w:rPr>
          <w:rFonts w:ascii="Cambria" w:eastAsia="Times New Roman" w:hAnsi="Cambria" w:cs="Times New Roman"/>
          <w:kern w:val="0"/>
          <w14:ligatures w14:val="none"/>
        </w:rPr>
        <w:t xml:space="preserve">  </w:t>
      </w:r>
      <w:hyperlink r:id="rId15" w:history="1">
        <w:r w:rsidR="00084F99"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 xml:space="preserve">An examination of the prevalence, impact, experiences and perceptions of learning and health technologies on students, academics and </w:t>
        </w:r>
        <w:r w:rsidR="00084F99"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lastRenderedPageBreak/>
          <w:t>educational leaders in complementary medicine education institutions: A mixed method study of two institutions, one in Australia and one in the US. </w:t>
        </w:r>
      </w:hyperlink>
    </w:p>
    <w:p w14:paraId="404822E3" w14:textId="77777777" w:rsidR="00084F99" w:rsidRPr="00084F99" w:rsidRDefault="00000000" w:rsidP="00084F99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kern w:val="0"/>
          <w14:ligatures w14:val="none"/>
        </w:rPr>
      </w:pPr>
      <w:hyperlink r:id="rId16" w:history="1">
        <w:r w:rsidR="00084F99"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 xml:space="preserve">Denise </w:t>
        </w:r>
        <w:proofErr w:type="spellStart"/>
        <w:r w:rsidR="00084F99" w:rsidRPr="00084F99">
          <w:rPr>
            <w:rFonts w:ascii="Cambria" w:eastAsia="Times New Roman" w:hAnsi="Cambria" w:cs="Times New Roman"/>
            <w:color w:val="0000FF"/>
            <w:kern w:val="0"/>
            <w:u w:val="single"/>
            <w14:ligatures w14:val="none"/>
          </w:rPr>
          <w:t>Straiges</w:t>
        </w:r>
        <w:proofErr w:type="spellEnd"/>
      </w:hyperlink>
      <w:r w:rsidR="00084F99" w:rsidRPr="00084F99">
        <w:rPr>
          <w:rFonts w:ascii="Cambria" w:eastAsia="Times New Roman" w:hAnsi="Cambria" w:cs="Times New Roman"/>
          <w:kern w:val="0"/>
          <w14:ligatures w14:val="none"/>
        </w:rPr>
        <w:t xml:space="preserve"> is a 2023 Johns Hopkins University History of Medicine Program graduate. Her thesis, </w:t>
      </w:r>
      <w:hyperlink r:id="rId17" w:history="1">
        <w:r w:rsidR="00084F99"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>Contingent Evolution: Homeopathy and 19</w:t>
        </w:r>
        <w:r w:rsidR="00084F99" w:rsidRPr="00084F99">
          <w:rPr>
            <w:rFonts w:ascii="Cambria" w:eastAsia="Times New Roman" w:hAnsi="Cambria" w:cs="Times New Roman"/>
            <w:i/>
            <w:iCs/>
            <w:kern w:val="0"/>
            <w:vertAlign w:val="superscript"/>
            <w14:ligatures w14:val="none"/>
          </w:rPr>
          <w:t>th</w:t>
        </w:r>
        <w:r w:rsidR="00084F99" w:rsidRPr="00084F99">
          <w:rPr>
            <w:rFonts w:ascii="Cambria" w:eastAsia="Times New Roman" w:hAnsi="Cambria" w:cs="Times New Roman"/>
            <w:i/>
            <w:iCs/>
            <w:kern w:val="0"/>
            <w14:ligatures w14:val="none"/>
          </w:rPr>
          <w:t xml:space="preserve"> Century Biomedicine </w:t>
        </w:r>
      </w:hyperlink>
      <w:r w:rsidR="00084F99" w:rsidRPr="00084F99">
        <w:rPr>
          <w:rFonts w:ascii="Cambria" w:eastAsia="Times New Roman" w:hAnsi="Cambria" w:cs="Times New Roman"/>
          <w:kern w:val="0"/>
          <w14:ligatures w14:val="none"/>
        </w:rPr>
        <w:t>explores how the uptake of bacteriological discoveries into the canon of 19th-century medical knowledge was an interdependent and non-linear process in both orthodox and heterodox spaces. </w:t>
      </w:r>
    </w:p>
    <w:p w14:paraId="5708CDF9" w14:textId="77777777" w:rsidR="00084F99" w:rsidRDefault="00084F99"/>
    <w:p w14:paraId="57AE0DA8" w14:textId="77777777" w:rsidR="000D2BD0" w:rsidRDefault="000D2BD0"/>
    <w:p w14:paraId="43CEE64A" w14:textId="77777777" w:rsidR="00006FA4" w:rsidRDefault="00006FA4"/>
    <w:p w14:paraId="179E922D" w14:textId="77777777" w:rsidR="00006FA4" w:rsidRDefault="00006FA4"/>
    <w:sectPr w:rsidR="00006FA4" w:rsidSect="00AB5A2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42E0" w14:textId="77777777" w:rsidR="00115036" w:rsidRDefault="00115036" w:rsidP="00E451AB">
      <w:r>
        <w:separator/>
      </w:r>
    </w:p>
  </w:endnote>
  <w:endnote w:type="continuationSeparator" w:id="0">
    <w:p w14:paraId="09DE19BF" w14:textId="77777777" w:rsidR="00115036" w:rsidRDefault="00115036" w:rsidP="00E4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3821" w14:textId="77777777" w:rsidR="00E451AB" w:rsidRPr="00084F99" w:rsidRDefault="00E451AB" w:rsidP="00E451AB">
    <w:pPr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084F99">
      <w:rPr>
        <w:rFonts w:ascii="Cambria" w:eastAsia="Times New Roman" w:hAnsi="Cambria" w:cs="Times New Roman"/>
        <w:color w:val="000000"/>
        <w:kern w:val="0"/>
        <w:sz w:val="22"/>
        <w:szCs w:val="22"/>
        <w14:ligatures w14:val="none"/>
      </w:rPr>
      <w:t>© International Journal of High Dilution Research. </w:t>
    </w:r>
  </w:p>
  <w:p w14:paraId="007A4147" w14:textId="77777777" w:rsidR="00E451AB" w:rsidRPr="00084F99" w:rsidRDefault="00E451AB" w:rsidP="00E451AB">
    <w:pPr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084F99">
      <w:rPr>
        <w:rFonts w:ascii="Cambria" w:eastAsia="Times New Roman" w:hAnsi="Cambria" w:cs="Times New Roman"/>
        <w:color w:val="000000"/>
        <w:kern w:val="0"/>
        <w:sz w:val="22"/>
        <w:szCs w:val="22"/>
        <w14:ligatures w14:val="none"/>
      </w:rPr>
      <w:t>Not for commercial purposes. </w:t>
    </w:r>
  </w:p>
  <w:p w14:paraId="0593AFA7" w14:textId="77777777" w:rsidR="00E451AB" w:rsidRDefault="00E4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6AAF" w14:textId="77777777" w:rsidR="00115036" w:rsidRDefault="00115036" w:rsidP="00E451AB">
      <w:r>
        <w:separator/>
      </w:r>
    </w:p>
  </w:footnote>
  <w:footnote w:type="continuationSeparator" w:id="0">
    <w:p w14:paraId="557078FC" w14:textId="77777777" w:rsidR="00115036" w:rsidRDefault="00115036" w:rsidP="00E4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57F6" w14:textId="77777777" w:rsidR="00E451AB" w:rsidRDefault="00E451AB" w:rsidP="00E451AB">
    <w:pPr>
      <w:pStyle w:val="NormalWeb"/>
      <w:spacing w:before="0" w:beforeAutospacing="0" w:after="0" w:afterAutospacing="0"/>
      <w:jc w:val="right"/>
    </w:pPr>
    <w:r>
      <w:rPr>
        <w:rFonts w:ascii="Cambria" w:hAnsi="Cambria"/>
        <w:i/>
        <w:iCs/>
        <w:color w:val="000000"/>
        <w:sz w:val="22"/>
        <w:szCs w:val="22"/>
      </w:rPr>
      <w:t>International Journal of High Dilution Research 2023; 21(3</w:t>
    </w:r>
    <w:proofErr w:type="gramStart"/>
    <w:r>
      <w:rPr>
        <w:rFonts w:ascii="Cambria" w:hAnsi="Cambria"/>
        <w:i/>
        <w:iCs/>
        <w:color w:val="000000"/>
        <w:sz w:val="22"/>
        <w:szCs w:val="22"/>
      </w:rPr>
      <w:t>):xx</w:t>
    </w:r>
    <w:proofErr w:type="gramEnd"/>
    <w:r>
      <w:rPr>
        <w:rFonts w:ascii="Cambria" w:hAnsi="Cambria"/>
        <w:i/>
        <w:iCs/>
        <w:color w:val="000000"/>
        <w:sz w:val="22"/>
        <w:szCs w:val="22"/>
      </w:rPr>
      <w:t>-xx</w:t>
    </w:r>
  </w:p>
  <w:p w14:paraId="0ABE568B" w14:textId="178737C2" w:rsidR="00E451AB" w:rsidRDefault="00E451AB" w:rsidP="00E451AB">
    <w:pPr>
      <w:pStyle w:val="Header"/>
      <w:jc w:val="right"/>
    </w:pPr>
    <w:r>
      <w:rPr>
        <w:rFonts w:ascii="Cambria" w:hAnsi="Cambria"/>
        <w:i/>
        <w:iCs/>
        <w:color w:val="000000"/>
        <w:sz w:val="22"/>
        <w:szCs w:val="22"/>
      </w:rPr>
      <w:t xml:space="preserve">Available online at </w:t>
    </w:r>
    <w:hyperlink r:id="rId1" w:history="1">
      <w:r>
        <w:rPr>
          <w:rStyle w:val="Hyperlink"/>
          <w:rFonts w:ascii="Cambria" w:hAnsi="Cambria"/>
          <w:i/>
          <w:iCs/>
          <w:color w:val="0563C1"/>
          <w:sz w:val="22"/>
          <w:szCs w:val="22"/>
        </w:rPr>
        <w:t>www.highdilution.org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836"/>
    <w:multiLevelType w:val="multilevel"/>
    <w:tmpl w:val="4F1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85406"/>
    <w:multiLevelType w:val="multilevel"/>
    <w:tmpl w:val="840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4796A"/>
    <w:multiLevelType w:val="multilevel"/>
    <w:tmpl w:val="708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D72CB"/>
    <w:multiLevelType w:val="multilevel"/>
    <w:tmpl w:val="47F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E4824"/>
    <w:multiLevelType w:val="multilevel"/>
    <w:tmpl w:val="871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26F3E"/>
    <w:multiLevelType w:val="multilevel"/>
    <w:tmpl w:val="CE9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A7F66"/>
    <w:multiLevelType w:val="multilevel"/>
    <w:tmpl w:val="7E3E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B35C8"/>
    <w:multiLevelType w:val="multilevel"/>
    <w:tmpl w:val="D17A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15D17"/>
    <w:multiLevelType w:val="multilevel"/>
    <w:tmpl w:val="EE7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04872"/>
    <w:multiLevelType w:val="multilevel"/>
    <w:tmpl w:val="193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1502"/>
    <w:multiLevelType w:val="multilevel"/>
    <w:tmpl w:val="5EF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C19FC"/>
    <w:multiLevelType w:val="multilevel"/>
    <w:tmpl w:val="40A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687122">
    <w:abstractNumId w:val="5"/>
  </w:num>
  <w:num w:numId="2" w16cid:durableId="862784610">
    <w:abstractNumId w:val="11"/>
  </w:num>
  <w:num w:numId="3" w16cid:durableId="1484932188">
    <w:abstractNumId w:val="3"/>
  </w:num>
  <w:num w:numId="4" w16cid:durableId="919287970">
    <w:abstractNumId w:val="7"/>
  </w:num>
  <w:num w:numId="5" w16cid:durableId="1425414056">
    <w:abstractNumId w:val="8"/>
  </w:num>
  <w:num w:numId="6" w16cid:durableId="136461266">
    <w:abstractNumId w:val="4"/>
  </w:num>
  <w:num w:numId="7" w16cid:durableId="1500537072">
    <w:abstractNumId w:val="1"/>
  </w:num>
  <w:num w:numId="8" w16cid:durableId="1055352608">
    <w:abstractNumId w:val="2"/>
  </w:num>
  <w:num w:numId="9" w16cid:durableId="987710823">
    <w:abstractNumId w:val="0"/>
  </w:num>
  <w:num w:numId="10" w16cid:durableId="337583238">
    <w:abstractNumId w:val="6"/>
  </w:num>
  <w:num w:numId="11" w16cid:durableId="1236550068">
    <w:abstractNumId w:val="10"/>
  </w:num>
  <w:num w:numId="12" w16cid:durableId="1479568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F"/>
    <w:rsid w:val="00006FA4"/>
    <w:rsid w:val="0001649B"/>
    <w:rsid w:val="00023E89"/>
    <w:rsid w:val="00051730"/>
    <w:rsid w:val="00054120"/>
    <w:rsid w:val="000557E1"/>
    <w:rsid w:val="00066D01"/>
    <w:rsid w:val="000756DA"/>
    <w:rsid w:val="00076BC9"/>
    <w:rsid w:val="00084F99"/>
    <w:rsid w:val="00087570"/>
    <w:rsid w:val="00093F3A"/>
    <w:rsid w:val="00095942"/>
    <w:rsid w:val="000A7175"/>
    <w:rsid w:val="000C6212"/>
    <w:rsid w:val="000D2BD0"/>
    <w:rsid w:val="000F35A1"/>
    <w:rsid w:val="00115036"/>
    <w:rsid w:val="0011737C"/>
    <w:rsid w:val="00117652"/>
    <w:rsid w:val="00134C49"/>
    <w:rsid w:val="00134D58"/>
    <w:rsid w:val="00151042"/>
    <w:rsid w:val="001569A5"/>
    <w:rsid w:val="00161845"/>
    <w:rsid w:val="001A5D48"/>
    <w:rsid w:val="001B4095"/>
    <w:rsid w:val="001C096B"/>
    <w:rsid w:val="001D3A47"/>
    <w:rsid w:val="001E7D03"/>
    <w:rsid w:val="002048C1"/>
    <w:rsid w:val="00207AF4"/>
    <w:rsid w:val="00267D3A"/>
    <w:rsid w:val="00270070"/>
    <w:rsid w:val="0027416A"/>
    <w:rsid w:val="002865DE"/>
    <w:rsid w:val="00287D5C"/>
    <w:rsid w:val="002929A7"/>
    <w:rsid w:val="00295E19"/>
    <w:rsid w:val="002963E3"/>
    <w:rsid w:val="00296F2F"/>
    <w:rsid w:val="002A788B"/>
    <w:rsid w:val="002B3B06"/>
    <w:rsid w:val="002C0A11"/>
    <w:rsid w:val="002C1C7A"/>
    <w:rsid w:val="002E0E18"/>
    <w:rsid w:val="002F2C03"/>
    <w:rsid w:val="00313905"/>
    <w:rsid w:val="00314D06"/>
    <w:rsid w:val="0034306E"/>
    <w:rsid w:val="003606FD"/>
    <w:rsid w:val="00361F58"/>
    <w:rsid w:val="0037376D"/>
    <w:rsid w:val="0037572C"/>
    <w:rsid w:val="00395F63"/>
    <w:rsid w:val="003C2D15"/>
    <w:rsid w:val="003D7BA0"/>
    <w:rsid w:val="003E5EDE"/>
    <w:rsid w:val="004031A1"/>
    <w:rsid w:val="00404C23"/>
    <w:rsid w:val="00425DF0"/>
    <w:rsid w:val="00444098"/>
    <w:rsid w:val="004474A3"/>
    <w:rsid w:val="00460A5E"/>
    <w:rsid w:val="004754F9"/>
    <w:rsid w:val="00476566"/>
    <w:rsid w:val="004A4BBC"/>
    <w:rsid w:val="004B6FB8"/>
    <w:rsid w:val="004D2D88"/>
    <w:rsid w:val="004D30B3"/>
    <w:rsid w:val="004D3BC3"/>
    <w:rsid w:val="004E6412"/>
    <w:rsid w:val="00500C9E"/>
    <w:rsid w:val="005127A3"/>
    <w:rsid w:val="005208F4"/>
    <w:rsid w:val="0052175B"/>
    <w:rsid w:val="0054102D"/>
    <w:rsid w:val="0054492E"/>
    <w:rsid w:val="00560633"/>
    <w:rsid w:val="0056552E"/>
    <w:rsid w:val="00567C83"/>
    <w:rsid w:val="0057310A"/>
    <w:rsid w:val="005740A5"/>
    <w:rsid w:val="005863BB"/>
    <w:rsid w:val="005911E5"/>
    <w:rsid w:val="00593595"/>
    <w:rsid w:val="00596650"/>
    <w:rsid w:val="005A00A0"/>
    <w:rsid w:val="005C0E17"/>
    <w:rsid w:val="005C25E0"/>
    <w:rsid w:val="005D3B55"/>
    <w:rsid w:val="00613C7E"/>
    <w:rsid w:val="00616954"/>
    <w:rsid w:val="006252DC"/>
    <w:rsid w:val="006342C9"/>
    <w:rsid w:val="006607BC"/>
    <w:rsid w:val="006930EF"/>
    <w:rsid w:val="006A06B6"/>
    <w:rsid w:val="006B467E"/>
    <w:rsid w:val="006C2029"/>
    <w:rsid w:val="006C7BDB"/>
    <w:rsid w:val="006D3B3C"/>
    <w:rsid w:val="006D7BA4"/>
    <w:rsid w:val="006E6AD4"/>
    <w:rsid w:val="00723BFE"/>
    <w:rsid w:val="00724DB8"/>
    <w:rsid w:val="00727EC8"/>
    <w:rsid w:val="00765BB5"/>
    <w:rsid w:val="0079449F"/>
    <w:rsid w:val="007B3A7B"/>
    <w:rsid w:val="007C7679"/>
    <w:rsid w:val="007D0843"/>
    <w:rsid w:val="007D393B"/>
    <w:rsid w:val="007E3844"/>
    <w:rsid w:val="007E6E8E"/>
    <w:rsid w:val="007E7591"/>
    <w:rsid w:val="007F3867"/>
    <w:rsid w:val="00823220"/>
    <w:rsid w:val="00823A14"/>
    <w:rsid w:val="008252AC"/>
    <w:rsid w:val="008377C3"/>
    <w:rsid w:val="00863BF8"/>
    <w:rsid w:val="0087402E"/>
    <w:rsid w:val="008913FE"/>
    <w:rsid w:val="00894E9F"/>
    <w:rsid w:val="00894F4F"/>
    <w:rsid w:val="008A4E32"/>
    <w:rsid w:val="008A729B"/>
    <w:rsid w:val="008B6E82"/>
    <w:rsid w:val="008D2876"/>
    <w:rsid w:val="008D2A38"/>
    <w:rsid w:val="008E7592"/>
    <w:rsid w:val="009062D4"/>
    <w:rsid w:val="009113F8"/>
    <w:rsid w:val="0094022B"/>
    <w:rsid w:val="00940C70"/>
    <w:rsid w:val="00942A2D"/>
    <w:rsid w:val="00944F4B"/>
    <w:rsid w:val="00966B95"/>
    <w:rsid w:val="0098142D"/>
    <w:rsid w:val="00981C97"/>
    <w:rsid w:val="009A44EF"/>
    <w:rsid w:val="009B2C6E"/>
    <w:rsid w:val="009C16A3"/>
    <w:rsid w:val="009C49C2"/>
    <w:rsid w:val="009D21FA"/>
    <w:rsid w:val="009D6F9D"/>
    <w:rsid w:val="009E4865"/>
    <w:rsid w:val="009E7769"/>
    <w:rsid w:val="00A00670"/>
    <w:rsid w:val="00A13B64"/>
    <w:rsid w:val="00A178B4"/>
    <w:rsid w:val="00A378C8"/>
    <w:rsid w:val="00AA0189"/>
    <w:rsid w:val="00AB284A"/>
    <w:rsid w:val="00AB5A25"/>
    <w:rsid w:val="00AD284E"/>
    <w:rsid w:val="00AF79B0"/>
    <w:rsid w:val="00B03AE4"/>
    <w:rsid w:val="00B12F84"/>
    <w:rsid w:val="00B32774"/>
    <w:rsid w:val="00B5016C"/>
    <w:rsid w:val="00B61E88"/>
    <w:rsid w:val="00B6713F"/>
    <w:rsid w:val="00B67278"/>
    <w:rsid w:val="00B751C1"/>
    <w:rsid w:val="00B96B6E"/>
    <w:rsid w:val="00BA1DBF"/>
    <w:rsid w:val="00BA668A"/>
    <w:rsid w:val="00BB17B6"/>
    <w:rsid w:val="00BB23F9"/>
    <w:rsid w:val="00BB761A"/>
    <w:rsid w:val="00BF67AB"/>
    <w:rsid w:val="00C03BF5"/>
    <w:rsid w:val="00C12E20"/>
    <w:rsid w:val="00C5273D"/>
    <w:rsid w:val="00C57641"/>
    <w:rsid w:val="00C601EA"/>
    <w:rsid w:val="00C72A39"/>
    <w:rsid w:val="00C9404C"/>
    <w:rsid w:val="00CA090E"/>
    <w:rsid w:val="00CA51FB"/>
    <w:rsid w:val="00CA72CD"/>
    <w:rsid w:val="00CB5E83"/>
    <w:rsid w:val="00CC05A5"/>
    <w:rsid w:val="00CC329C"/>
    <w:rsid w:val="00CE1771"/>
    <w:rsid w:val="00CE2438"/>
    <w:rsid w:val="00CE6BCB"/>
    <w:rsid w:val="00D00A5A"/>
    <w:rsid w:val="00D03F89"/>
    <w:rsid w:val="00D44D6E"/>
    <w:rsid w:val="00D53DA9"/>
    <w:rsid w:val="00D73A6E"/>
    <w:rsid w:val="00D82E0A"/>
    <w:rsid w:val="00DB346D"/>
    <w:rsid w:val="00E14A24"/>
    <w:rsid w:val="00E331CB"/>
    <w:rsid w:val="00E449BE"/>
    <w:rsid w:val="00E451AB"/>
    <w:rsid w:val="00E47BC7"/>
    <w:rsid w:val="00E5052B"/>
    <w:rsid w:val="00E52448"/>
    <w:rsid w:val="00E82E3B"/>
    <w:rsid w:val="00E853C1"/>
    <w:rsid w:val="00E94FAC"/>
    <w:rsid w:val="00EB3691"/>
    <w:rsid w:val="00EB4B25"/>
    <w:rsid w:val="00ED5932"/>
    <w:rsid w:val="00ED69B1"/>
    <w:rsid w:val="00ED747E"/>
    <w:rsid w:val="00EE4988"/>
    <w:rsid w:val="00EF2645"/>
    <w:rsid w:val="00EF7C3B"/>
    <w:rsid w:val="00F06B1E"/>
    <w:rsid w:val="00F13935"/>
    <w:rsid w:val="00F2088F"/>
    <w:rsid w:val="00F2566F"/>
    <w:rsid w:val="00F56EA2"/>
    <w:rsid w:val="00F60524"/>
    <w:rsid w:val="00F67F95"/>
    <w:rsid w:val="00F93DCF"/>
    <w:rsid w:val="00FC4BA9"/>
    <w:rsid w:val="00FE54E1"/>
    <w:rsid w:val="00FE6CC4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CB88E"/>
  <w15:chartTrackingRefBased/>
  <w15:docId w15:val="{50EC6B5B-6327-5D42-B756-ECC29FF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4F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449F"/>
  </w:style>
  <w:style w:type="paragraph" w:styleId="NormalWeb">
    <w:name w:val="Normal (Web)"/>
    <w:basedOn w:val="Normal"/>
    <w:uiPriority w:val="99"/>
    <w:semiHidden/>
    <w:unhideWhenUsed/>
    <w:rsid w:val="00084F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084F99"/>
  </w:style>
  <w:style w:type="character" w:styleId="Hyperlink">
    <w:name w:val="Hyperlink"/>
    <w:basedOn w:val="DefaultParagraphFont"/>
    <w:uiPriority w:val="99"/>
    <w:semiHidden/>
    <w:unhideWhenUsed/>
    <w:rsid w:val="00084F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4F9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84F9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084F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AB"/>
  </w:style>
  <w:style w:type="paragraph" w:styleId="Footer">
    <w:name w:val="footer"/>
    <w:basedOn w:val="Normal"/>
    <w:link w:val="FooterChar"/>
    <w:uiPriority w:val="99"/>
    <w:unhideWhenUsed/>
    <w:rsid w:val="00E45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AB"/>
  </w:style>
  <w:style w:type="character" w:customStyle="1" w:styleId="Heading3Char">
    <w:name w:val="Heading 3 Char"/>
    <w:basedOn w:val="DefaultParagraphFont"/>
    <w:link w:val="Heading3"/>
    <w:uiPriority w:val="9"/>
    <w:rsid w:val="00395F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it">
    <w:name w:val="cit"/>
    <w:basedOn w:val="DefaultParagraphFont"/>
    <w:rsid w:val="00FE54E1"/>
  </w:style>
  <w:style w:type="character" w:customStyle="1" w:styleId="citation-doi">
    <w:name w:val="citation-doi"/>
    <w:basedOn w:val="DefaultParagraphFont"/>
    <w:rsid w:val="00FE54E1"/>
  </w:style>
  <w:style w:type="character" w:customStyle="1" w:styleId="secondary-date">
    <w:name w:val="secondary-date"/>
    <w:basedOn w:val="DefaultParagraphFont"/>
    <w:rsid w:val="00FE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tim.2021.102793" TargetMode="External"/><Relationship Id="rId13" Type="http://schemas.openxmlformats.org/officeDocument/2006/relationships/hyperlink" Target="https://www.amazon.com/Method-Homeopathic-application-approaches-homeopathy-ebook/dp/B07Q1DQ9F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16/j.aimed.2021.10.001" TargetMode="External"/><Relationship Id="rId12" Type="http://schemas.openxmlformats.org/officeDocument/2006/relationships/hyperlink" Target="https://www.amazon.com/Case-Management-Homeopathic-Medicine-3/dp/8131933008" TargetMode="External"/><Relationship Id="rId17" Type="http://schemas.openxmlformats.org/officeDocument/2006/relationships/hyperlink" Target="https://jscholarship.library.jhu.edu/items/fa7948f1-991b-4e1c-b3c3-63f8032e78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hmfoundation.org/people/denise-straig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Case-Taking-Consultation-Landscape-Homeopathic-ebook/dp/B07GCQN5X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dl.handle.net/10453/160995" TargetMode="External"/><Relationship Id="rId10" Type="http://schemas.openxmlformats.org/officeDocument/2006/relationships/hyperlink" Target="https://doi.org/10.1016/j.aimed.2019.04.001,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eujim.2021.101304" TargetMode="External"/><Relationship Id="rId14" Type="http://schemas.openxmlformats.org/officeDocument/2006/relationships/hyperlink" Target="https://opus.lib.uts.edu.au/browse?type=author&amp;sort_by=2&amp;order=DESC&amp;value=Gray%2c+Alastair+C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ghdilu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Gray</dc:creator>
  <cp:keywords/>
  <dc:description/>
  <cp:lastModifiedBy>Alastair Gray</cp:lastModifiedBy>
  <cp:revision>3</cp:revision>
  <dcterms:created xsi:type="dcterms:W3CDTF">2023-10-08T20:58:00Z</dcterms:created>
  <dcterms:modified xsi:type="dcterms:W3CDTF">2023-10-12T13:32:00Z</dcterms:modified>
</cp:coreProperties>
</file>